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C9" w:rsidRDefault="00B025C9" w:rsidP="000B13DD">
      <w:pPr>
        <w:pStyle w:val="NormalWeb"/>
        <w:shd w:val="clear" w:color="auto" w:fill="FFFFFF"/>
        <w:spacing w:before="0" w:beforeAutospacing="0" w:after="0" w:afterAutospacing="0"/>
        <w:textAlignment w:val="baseline"/>
        <w:rPr>
          <w:rStyle w:val="lev"/>
          <w:rFonts w:ascii="inherit" w:hAnsi="inherit" w:cs="Open Sans"/>
          <w:color w:val="373737"/>
          <w:sz w:val="28"/>
          <w:szCs w:val="28"/>
          <w:bdr w:val="none" w:sz="0" w:space="0" w:color="auto" w:frame="1"/>
        </w:rPr>
      </w:pPr>
      <w:bookmarkStart w:id="0" w:name="_GoBack"/>
      <w:bookmarkEnd w:id="0"/>
    </w:p>
    <w:p w:rsidR="00B025C9" w:rsidRPr="00B025C9" w:rsidRDefault="00B025C9" w:rsidP="00B025C9">
      <w:pPr>
        <w:pStyle w:val="Titre3"/>
        <w:shd w:val="clear" w:color="auto" w:fill="FFFFFF"/>
        <w:spacing w:before="0" w:after="150" w:line="330" w:lineRule="atLeast"/>
        <w:textAlignment w:val="baseline"/>
        <w:rPr>
          <w:rFonts w:ascii="Century Gothic" w:eastAsia="Times New Roman" w:hAnsi="Century Gothic" w:cs="Open Sans"/>
          <w:color w:val="CC000E"/>
          <w:sz w:val="28"/>
          <w:szCs w:val="28"/>
          <w:lang w:eastAsia="fr-FR"/>
        </w:rPr>
      </w:pPr>
      <w:r w:rsidRPr="00B025C9">
        <w:rPr>
          <w:rFonts w:ascii="Century Gothic" w:eastAsia="Times New Roman" w:hAnsi="Century Gothic" w:cs="Open Sans"/>
          <w:color w:val="CC000E"/>
          <w:sz w:val="28"/>
          <w:szCs w:val="28"/>
          <w:lang w:eastAsia="fr-FR"/>
        </w:rPr>
        <w:t>Gestion de carrière</w:t>
      </w:r>
    </w:p>
    <w:p w:rsidR="00B025C9" w:rsidRPr="00B025C9" w:rsidRDefault="00B025C9" w:rsidP="00B025C9">
      <w:pPr>
        <w:pStyle w:val="NormalWeb"/>
        <w:shd w:val="clear" w:color="auto" w:fill="FFFFFF"/>
        <w:spacing w:before="0" w:beforeAutospacing="0" w:after="0" w:afterAutospacing="0"/>
        <w:jc w:val="both"/>
        <w:textAlignment w:val="baseline"/>
        <w:rPr>
          <w:rFonts w:ascii="Century Gothic" w:hAnsi="Century Gothic" w:cs="Open Sans"/>
          <w:color w:val="757575"/>
          <w:sz w:val="28"/>
          <w:szCs w:val="28"/>
        </w:rPr>
      </w:pPr>
      <w:r w:rsidRPr="00B025C9">
        <w:rPr>
          <w:rFonts w:ascii="Century Gothic" w:hAnsi="Century Gothic" w:cs="Open Sans"/>
          <w:color w:val="757575"/>
          <w:sz w:val="28"/>
          <w:szCs w:val="28"/>
        </w:rPr>
        <w:t>La conception bidimensionnelle du </w:t>
      </w:r>
      <w:r w:rsidRPr="00B025C9">
        <w:rPr>
          <w:rFonts w:ascii="Century Gothic" w:hAnsi="Century Gothic" w:cs="Open Sans"/>
          <w:b/>
          <w:bCs/>
          <w:color w:val="373737"/>
          <w:sz w:val="28"/>
          <w:szCs w:val="28"/>
          <w:bdr w:val="none" w:sz="0" w:space="0" w:color="auto" w:frame="1"/>
        </w:rPr>
        <w:t>Profil Pro 2 </w:t>
      </w:r>
      <w:r w:rsidRPr="00B025C9">
        <w:rPr>
          <w:rFonts w:ascii="Century Gothic" w:hAnsi="Century Gothic" w:cs="Open Sans"/>
          <w:color w:val="757575"/>
          <w:sz w:val="28"/>
          <w:szCs w:val="28"/>
        </w:rPr>
        <w:t>contribue à une meilleure connaissance des atouts, des forces et des besoins de la personne, afin de développer ses talents via un programme de formation approprié, ou de la (ré)orienter vers une voie qui favorise davantage son épanouissement professionnel</w:t>
      </w:r>
    </w:p>
    <w:p w:rsidR="00B025C9" w:rsidRDefault="00B025C9" w:rsidP="00B025C9">
      <w:pPr>
        <w:pStyle w:val="NormalWeb"/>
        <w:shd w:val="clear" w:color="auto" w:fill="FFFFFF"/>
        <w:spacing w:before="0" w:beforeAutospacing="0" w:after="0" w:afterAutospacing="0"/>
        <w:jc w:val="both"/>
        <w:textAlignment w:val="baseline"/>
        <w:rPr>
          <w:rFonts w:ascii="Open Sans" w:hAnsi="Open Sans" w:cs="Open Sans"/>
          <w:color w:val="757575"/>
          <w:sz w:val="20"/>
          <w:szCs w:val="20"/>
        </w:rPr>
      </w:pPr>
    </w:p>
    <w:p w:rsidR="000B13DD" w:rsidRPr="00B025C9" w:rsidRDefault="00B025C9" w:rsidP="00B025C9">
      <w:pPr>
        <w:pStyle w:val="NormalWeb"/>
        <w:shd w:val="clear" w:color="auto" w:fill="FFFFFF"/>
        <w:spacing w:before="0" w:beforeAutospacing="0" w:after="0" w:afterAutospacing="0"/>
        <w:jc w:val="both"/>
        <w:textAlignment w:val="baseline"/>
        <w:rPr>
          <w:rFonts w:ascii="Century Gothic" w:hAnsi="Century Gothic" w:cs="Open Sans"/>
          <w:color w:val="757575"/>
        </w:rPr>
      </w:pPr>
      <w:r w:rsidRPr="00B025C9">
        <w:rPr>
          <w:rStyle w:val="lev"/>
          <w:rFonts w:ascii="Century Gothic" w:eastAsiaTheme="majorEastAsia" w:hAnsi="Century Gothic" w:cs="Open Sans"/>
          <w:color w:val="373737"/>
          <w:bdr w:val="none" w:sz="0" w:space="0" w:color="auto" w:frame="1"/>
        </w:rPr>
        <w:t xml:space="preserve">Profil Pro </w:t>
      </w:r>
      <w:proofErr w:type="gramStart"/>
      <w:r w:rsidRPr="00B025C9">
        <w:rPr>
          <w:rStyle w:val="lev"/>
          <w:rFonts w:ascii="Century Gothic" w:eastAsiaTheme="majorEastAsia" w:hAnsi="Century Gothic" w:cs="Open Sans"/>
          <w:color w:val="373737"/>
          <w:bdr w:val="none" w:sz="0" w:space="0" w:color="auto" w:frame="1"/>
        </w:rPr>
        <w:t>2  </w:t>
      </w:r>
      <w:r w:rsidRPr="00B025C9">
        <w:rPr>
          <w:rFonts w:ascii="Century Gothic" w:hAnsi="Century Gothic" w:cs="Open Sans"/>
          <w:color w:val="757575"/>
        </w:rPr>
        <w:t>évalue</w:t>
      </w:r>
      <w:proofErr w:type="gramEnd"/>
      <w:r w:rsidRPr="00B025C9">
        <w:rPr>
          <w:rFonts w:ascii="Century Gothic" w:hAnsi="Century Gothic" w:cs="Open Sans"/>
          <w:color w:val="757575"/>
        </w:rPr>
        <w:t xml:space="preserve"> 14 dimensions en opposition, soit 28 facettes de </w:t>
      </w:r>
      <w:r w:rsidR="000B13DD" w:rsidRPr="00B025C9">
        <w:rPr>
          <w:rFonts w:ascii="Century Gothic" w:hAnsi="Century Gothic" w:cs="Open Sans"/>
          <w:color w:val="757575"/>
        </w:rPr>
        <w:t>la personnalité et des motivations, en associant la structure ipsative de son questionnaire à une approche bidimensionnelle des traits évalués (exemple : Introversion vs extraversion, flexibilité vs fermeté).</w:t>
      </w:r>
    </w:p>
    <w:p w:rsidR="000B13DD" w:rsidRPr="00B025C9" w:rsidRDefault="000B13DD" w:rsidP="00B025C9">
      <w:pPr>
        <w:pStyle w:val="NormalWeb"/>
        <w:shd w:val="clear" w:color="auto" w:fill="FFFFFF"/>
        <w:spacing w:before="0" w:beforeAutospacing="0" w:after="0" w:afterAutospacing="0"/>
        <w:jc w:val="both"/>
        <w:textAlignment w:val="baseline"/>
        <w:rPr>
          <w:rFonts w:ascii="Century Gothic" w:hAnsi="Century Gothic" w:cs="Open Sans"/>
          <w:color w:val="757575"/>
        </w:rPr>
      </w:pPr>
      <w:r w:rsidRPr="00B025C9">
        <w:rPr>
          <w:rFonts w:ascii="Century Gothic" w:hAnsi="Century Gothic" w:cs="Open Sans"/>
          <w:color w:val="757575"/>
        </w:rPr>
        <w:t>Cette approche bidimensionnelle reflète particulièrement bien la nature dynamique et la subtilité de la personnalité et des motivations, comparativement à une approche unidimensionnelle.</w:t>
      </w:r>
    </w:p>
    <w:p w:rsidR="00B025C9" w:rsidRDefault="000B13DD" w:rsidP="00B025C9">
      <w:pPr>
        <w:pStyle w:val="Titre3"/>
        <w:shd w:val="clear" w:color="auto" w:fill="FFFFFF"/>
        <w:spacing w:before="0" w:after="150" w:line="330" w:lineRule="atLeast"/>
        <w:jc w:val="both"/>
        <w:textAlignment w:val="baseline"/>
        <w:rPr>
          <w:rFonts w:ascii="Open Sans" w:eastAsia="Times New Roman" w:hAnsi="Open Sans" w:cs="Open Sans"/>
          <w:color w:val="CC000E"/>
          <w:lang w:eastAsia="fr-FR"/>
        </w:rPr>
      </w:pPr>
      <w:r w:rsidRPr="00B025C9">
        <w:rPr>
          <w:rFonts w:ascii="Century Gothic" w:hAnsi="Century Gothic" w:cs="Open Sans"/>
          <w:color w:val="757575"/>
        </w:rPr>
        <w:t>La construction ipsative du test avec la méthode IRT-Thurstone permet de minimiser l'impact de la désirabilité sociale en augmentant ainsi la fiabilité de l’outil</w:t>
      </w:r>
      <w:r>
        <w:rPr>
          <w:rFonts w:ascii="Open Sans" w:hAnsi="Open Sans" w:cs="Open Sans"/>
          <w:color w:val="757575"/>
          <w:sz w:val="20"/>
          <w:szCs w:val="20"/>
        </w:rPr>
        <w:t>.</w:t>
      </w:r>
      <w:r w:rsidR="00B025C9" w:rsidRPr="00B025C9">
        <w:rPr>
          <w:rFonts w:ascii="Open Sans" w:eastAsia="Times New Roman" w:hAnsi="Open Sans" w:cs="Open Sans"/>
          <w:color w:val="CC000E"/>
          <w:lang w:eastAsia="fr-FR"/>
        </w:rPr>
        <w:t xml:space="preserve"> </w:t>
      </w:r>
    </w:p>
    <w:p w:rsidR="00B025C9" w:rsidRPr="00B025C9" w:rsidRDefault="00B025C9" w:rsidP="00B025C9">
      <w:pPr>
        <w:shd w:val="clear" w:color="auto" w:fill="FFFFFF"/>
        <w:spacing w:after="0" w:line="240" w:lineRule="auto"/>
        <w:textAlignment w:val="baseline"/>
        <w:rPr>
          <w:rFonts w:ascii="Open Sans" w:eastAsia="Times New Roman" w:hAnsi="Open Sans" w:cs="Open Sans"/>
          <w:color w:val="757575"/>
          <w:sz w:val="20"/>
          <w:szCs w:val="20"/>
          <w:lang w:eastAsia="fr-FR"/>
        </w:rPr>
      </w:pPr>
      <w:r w:rsidRPr="00B025C9">
        <w:rPr>
          <w:rFonts w:ascii="Open Sans" w:eastAsia="Times New Roman" w:hAnsi="Open Sans" w:cs="Open Sans"/>
          <w:color w:val="757575"/>
          <w:sz w:val="20"/>
          <w:szCs w:val="20"/>
          <w:lang w:eastAsia="fr-FR"/>
        </w:rPr>
        <w:t>.</w:t>
      </w:r>
    </w:p>
    <w:p w:rsidR="000B13DD" w:rsidRDefault="000B13DD" w:rsidP="00B025C9">
      <w:pPr>
        <w:spacing w:after="0" w:line="240" w:lineRule="auto"/>
        <w:rPr>
          <w:rFonts w:ascii="Open Sans" w:eastAsia="Times New Roman" w:hAnsi="Open Sans" w:cs="Open Sans"/>
          <w:color w:val="CC000E"/>
          <w:sz w:val="20"/>
          <w:szCs w:val="20"/>
          <w:bdr w:val="none" w:sz="0" w:space="0" w:color="auto" w:frame="1"/>
          <w:shd w:val="clear" w:color="auto" w:fill="FFFFFF"/>
          <w:lang w:eastAsia="fr-FR"/>
        </w:rPr>
      </w:pPr>
    </w:p>
    <w:p w:rsidR="000B13DD" w:rsidRPr="000B13DD" w:rsidRDefault="000B13DD" w:rsidP="00B025C9">
      <w:pPr>
        <w:spacing w:after="0" w:line="240" w:lineRule="auto"/>
        <w:rPr>
          <w:rFonts w:ascii="Times New Roman" w:eastAsia="Times New Roman" w:hAnsi="Times New Roman" w:cs="Times New Roman"/>
          <w:sz w:val="24"/>
          <w:szCs w:val="24"/>
          <w:lang w:eastAsia="fr-FR"/>
        </w:rPr>
      </w:pPr>
      <w:r w:rsidRPr="000B13DD">
        <w:rPr>
          <w:rFonts w:ascii="Open Sans" w:eastAsia="Times New Roman" w:hAnsi="Open Sans" w:cs="Open Sans"/>
          <w:color w:val="CC000E"/>
          <w:sz w:val="20"/>
          <w:szCs w:val="20"/>
          <w:bdr w:val="none" w:sz="0" w:space="0" w:color="auto" w:frame="1"/>
          <w:shd w:val="clear" w:color="auto" w:fill="FFFFFF"/>
          <w:lang w:eastAsia="fr-FR"/>
        </w:rPr>
        <w:t>Questionnaire :</w:t>
      </w:r>
      <w:r w:rsidRPr="000B13DD">
        <w:rPr>
          <w:rFonts w:ascii="Open Sans" w:eastAsia="Times New Roman" w:hAnsi="Open Sans" w:cs="Open Sans"/>
          <w:color w:val="757575"/>
          <w:sz w:val="20"/>
          <w:szCs w:val="20"/>
          <w:shd w:val="clear" w:color="auto" w:fill="FFFFFF"/>
          <w:lang w:eastAsia="fr-FR"/>
        </w:rPr>
        <w:t> 112 questions</w:t>
      </w:r>
      <w:r w:rsidRPr="000B13DD">
        <w:rPr>
          <w:rFonts w:ascii="Open Sans" w:eastAsia="Times New Roman" w:hAnsi="Open Sans" w:cs="Open Sans"/>
          <w:color w:val="757575"/>
          <w:sz w:val="20"/>
          <w:szCs w:val="20"/>
          <w:lang w:eastAsia="fr-FR"/>
        </w:rPr>
        <w:br/>
      </w:r>
      <w:r w:rsidRPr="000B13DD">
        <w:rPr>
          <w:rFonts w:ascii="Open Sans" w:eastAsia="Times New Roman" w:hAnsi="Open Sans" w:cs="Open Sans"/>
          <w:color w:val="CC000E"/>
          <w:sz w:val="20"/>
          <w:szCs w:val="20"/>
          <w:bdr w:val="none" w:sz="0" w:space="0" w:color="auto" w:frame="1"/>
          <w:shd w:val="clear" w:color="auto" w:fill="FFFFFF"/>
          <w:lang w:eastAsia="fr-FR"/>
        </w:rPr>
        <w:t>Temps de passation :</w:t>
      </w:r>
      <w:r w:rsidRPr="000B13DD">
        <w:rPr>
          <w:rFonts w:ascii="Open Sans" w:eastAsia="Times New Roman" w:hAnsi="Open Sans" w:cs="Open Sans"/>
          <w:color w:val="757575"/>
          <w:sz w:val="20"/>
          <w:szCs w:val="20"/>
          <w:shd w:val="clear" w:color="auto" w:fill="FFFFFF"/>
          <w:lang w:eastAsia="fr-FR"/>
        </w:rPr>
        <w:t> 12-15 minutes</w:t>
      </w:r>
      <w:r w:rsidRPr="000B13DD">
        <w:rPr>
          <w:rFonts w:ascii="Open Sans" w:eastAsia="Times New Roman" w:hAnsi="Open Sans" w:cs="Open Sans"/>
          <w:color w:val="757575"/>
          <w:sz w:val="20"/>
          <w:szCs w:val="20"/>
          <w:lang w:eastAsia="fr-FR"/>
        </w:rPr>
        <w:br/>
      </w:r>
      <w:r w:rsidRPr="000B13DD">
        <w:rPr>
          <w:rFonts w:ascii="Open Sans" w:eastAsia="Times New Roman" w:hAnsi="Open Sans" w:cs="Open Sans"/>
          <w:color w:val="CC000E"/>
          <w:sz w:val="20"/>
          <w:szCs w:val="20"/>
          <w:bdr w:val="none" w:sz="0" w:space="0" w:color="auto" w:frame="1"/>
          <w:shd w:val="clear" w:color="auto" w:fill="FFFFFF"/>
          <w:lang w:eastAsia="fr-FR"/>
        </w:rPr>
        <w:t>Langues disponibles :</w:t>
      </w:r>
      <w:r w:rsidRPr="000B13DD">
        <w:rPr>
          <w:rFonts w:ascii="Open Sans" w:eastAsia="Times New Roman" w:hAnsi="Open Sans" w:cs="Open Sans"/>
          <w:color w:val="757575"/>
          <w:sz w:val="20"/>
          <w:szCs w:val="20"/>
          <w:shd w:val="clear" w:color="auto" w:fill="FFFFFF"/>
          <w:lang w:eastAsia="fr-FR"/>
        </w:rPr>
        <w:t> français, anglais, allemand, arabe, espagnol, néerlandais, italien, portugais, turc, chinois, russe et hindi</w:t>
      </w:r>
      <w:r w:rsidRPr="000B13DD">
        <w:rPr>
          <w:rFonts w:ascii="Open Sans" w:eastAsia="Times New Roman" w:hAnsi="Open Sans" w:cs="Open Sans"/>
          <w:color w:val="757575"/>
          <w:sz w:val="20"/>
          <w:szCs w:val="20"/>
          <w:lang w:eastAsia="fr-FR"/>
        </w:rPr>
        <w:br/>
      </w:r>
    </w:p>
    <w:p w:rsidR="000B13DD" w:rsidRPr="000B13DD" w:rsidRDefault="000B13DD" w:rsidP="00B025C9">
      <w:pPr>
        <w:shd w:val="clear" w:color="auto" w:fill="FFFFFF"/>
        <w:spacing w:after="0" w:line="240" w:lineRule="auto"/>
        <w:textAlignment w:val="baseline"/>
        <w:rPr>
          <w:rFonts w:ascii="Open Sans" w:eastAsia="Times New Roman" w:hAnsi="Open Sans" w:cs="Open Sans"/>
          <w:color w:val="757575"/>
          <w:sz w:val="20"/>
          <w:szCs w:val="20"/>
          <w:lang w:eastAsia="fr-FR"/>
        </w:rPr>
      </w:pPr>
      <w:r w:rsidRPr="000B13DD">
        <w:rPr>
          <w:rFonts w:ascii="inherit" w:eastAsia="Times New Roman" w:hAnsi="inherit" w:cs="Open Sans"/>
          <w:color w:val="CC000E"/>
          <w:sz w:val="20"/>
          <w:szCs w:val="20"/>
          <w:bdr w:val="none" w:sz="0" w:space="0" w:color="auto" w:frame="1"/>
          <w:lang w:eastAsia="fr-FR"/>
        </w:rPr>
        <w:t xml:space="preserve">Points </w:t>
      </w:r>
      <w:proofErr w:type="gramStart"/>
      <w:r w:rsidRPr="000B13DD">
        <w:rPr>
          <w:rFonts w:ascii="inherit" w:eastAsia="Times New Roman" w:hAnsi="inherit" w:cs="Open Sans"/>
          <w:color w:val="CC000E"/>
          <w:sz w:val="20"/>
          <w:szCs w:val="20"/>
          <w:bdr w:val="none" w:sz="0" w:space="0" w:color="auto" w:frame="1"/>
          <w:lang w:eastAsia="fr-FR"/>
        </w:rPr>
        <w:t>forts:</w:t>
      </w:r>
      <w:proofErr w:type="gramEnd"/>
    </w:p>
    <w:p w:rsidR="000B13DD" w:rsidRPr="000B13DD" w:rsidRDefault="000B13DD" w:rsidP="00B025C9">
      <w:pPr>
        <w:numPr>
          <w:ilvl w:val="0"/>
          <w:numId w:val="1"/>
        </w:numPr>
        <w:shd w:val="clear" w:color="auto" w:fill="FFFFFF"/>
        <w:spacing w:after="0" w:line="360" w:lineRule="atLeast"/>
        <w:ind w:left="514"/>
        <w:textAlignment w:val="baseline"/>
        <w:rPr>
          <w:rFonts w:ascii="Open Sans" w:eastAsia="Times New Roman" w:hAnsi="Open Sans" w:cs="Open Sans"/>
          <w:color w:val="757575"/>
          <w:sz w:val="20"/>
          <w:szCs w:val="20"/>
          <w:lang w:eastAsia="fr-FR"/>
        </w:rPr>
      </w:pPr>
      <w:r w:rsidRPr="000B13DD">
        <w:rPr>
          <w:rFonts w:ascii="FontAwesome" w:eastAsia="Times New Roman" w:hAnsi="FontAwesome" w:cs="Open Sans"/>
          <w:color w:val="373737"/>
          <w:sz w:val="20"/>
          <w:szCs w:val="20"/>
          <w:bdr w:val="none" w:sz="0" w:space="0" w:color="auto" w:frame="1"/>
          <w:lang w:eastAsia="fr-FR"/>
        </w:rPr>
        <w:t> </w:t>
      </w:r>
      <w:r w:rsidRPr="000B13DD">
        <w:rPr>
          <w:rFonts w:ascii="Open Sans" w:eastAsia="Times New Roman" w:hAnsi="Open Sans" w:cs="Open Sans"/>
          <w:color w:val="757575"/>
          <w:sz w:val="20"/>
          <w:szCs w:val="20"/>
          <w:lang w:eastAsia="fr-FR"/>
        </w:rPr>
        <w:t>Évaluation de la personnalité, du comportement professionnel et des motivations en un seul questionnaire</w:t>
      </w:r>
    </w:p>
    <w:p w:rsidR="000B13DD" w:rsidRPr="000B13DD" w:rsidRDefault="000B13DD" w:rsidP="00B025C9">
      <w:pPr>
        <w:numPr>
          <w:ilvl w:val="0"/>
          <w:numId w:val="1"/>
        </w:numPr>
        <w:shd w:val="clear" w:color="auto" w:fill="FFFFFF"/>
        <w:spacing w:after="0" w:line="360" w:lineRule="atLeast"/>
        <w:ind w:left="514"/>
        <w:textAlignment w:val="baseline"/>
        <w:rPr>
          <w:rFonts w:ascii="Open Sans" w:eastAsia="Times New Roman" w:hAnsi="Open Sans" w:cs="Open Sans"/>
          <w:color w:val="757575"/>
          <w:sz w:val="20"/>
          <w:szCs w:val="20"/>
          <w:lang w:eastAsia="fr-FR"/>
        </w:rPr>
      </w:pPr>
      <w:r w:rsidRPr="000B13DD">
        <w:rPr>
          <w:rFonts w:ascii="FontAwesome" w:eastAsia="Times New Roman" w:hAnsi="FontAwesome" w:cs="Open Sans"/>
          <w:color w:val="373737"/>
          <w:sz w:val="20"/>
          <w:szCs w:val="20"/>
          <w:bdr w:val="none" w:sz="0" w:space="0" w:color="auto" w:frame="1"/>
          <w:lang w:eastAsia="fr-FR"/>
        </w:rPr>
        <w:t> </w:t>
      </w:r>
      <w:r w:rsidRPr="000B13DD">
        <w:rPr>
          <w:rFonts w:ascii="Open Sans" w:eastAsia="Times New Roman" w:hAnsi="Open Sans" w:cs="Open Sans"/>
          <w:color w:val="757575"/>
          <w:sz w:val="20"/>
          <w:szCs w:val="20"/>
          <w:lang w:eastAsia="fr-FR"/>
        </w:rPr>
        <w:t>Contrôle de la désirabilité sociale avec IRT- Thurstone.</w:t>
      </w:r>
    </w:p>
    <w:p w:rsidR="000B13DD" w:rsidRPr="000B13DD" w:rsidRDefault="000B13DD" w:rsidP="00B025C9">
      <w:pPr>
        <w:numPr>
          <w:ilvl w:val="0"/>
          <w:numId w:val="1"/>
        </w:numPr>
        <w:shd w:val="clear" w:color="auto" w:fill="FFFFFF"/>
        <w:spacing w:after="0" w:line="360" w:lineRule="atLeast"/>
        <w:ind w:left="514"/>
        <w:textAlignment w:val="baseline"/>
        <w:rPr>
          <w:rFonts w:ascii="Open Sans" w:eastAsia="Times New Roman" w:hAnsi="Open Sans" w:cs="Open Sans"/>
          <w:color w:val="757575"/>
          <w:sz w:val="20"/>
          <w:szCs w:val="20"/>
          <w:lang w:eastAsia="fr-FR"/>
        </w:rPr>
      </w:pPr>
      <w:r w:rsidRPr="000B13DD">
        <w:rPr>
          <w:rFonts w:ascii="FontAwesome" w:eastAsia="Times New Roman" w:hAnsi="FontAwesome" w:cs="Open Sans"/>
          <w:color w:val="373737"/>
          <w:sz w:val="20"/>
          <w:szCs w:val="20"/>
          <w:bdr w:val="none" w:sz="0" w:space="0" w:color="auto" w:frame="1"/>
          <w:lang w:eastAsia="fr-FR"/>
        </w:rPr>
        <w:t> </w:t>
      </w:r>
      <w:r w:rsidRPr="000B13DD">
        <w:rPr>
          <w:rFonts w:ascii="Open Sans" w:eastAsia="Times New Roman" w:hAnsi="Open Sans" w:cs="Open Sans"/>
          <w:color w:val="757575"/>
          <w:sz w:val="20"/>
          <w:szCs w:val="20"/>
          <w:lang w:eastAsia="fr-FR"/>
        </w:rPr>
        <w:t xml:space="preserve">Adéquation avec un référentiel standard de </w:t>
      </w:r>
      <w:r w:rsidRPr="000B13DD">
        <w:rPr>
          <w:rFonts w:ascii="Open Sans" w:eastAsia="Times New Roman" w:hAnsi="Open Sans" w:cs="Open Sans"/>
          <w:b/>
          <w:color w:val="757575"/>
          <w:sz w:val="32"/>
          <w:szCs w:val="32"/>
          <w:lang w:eastAsia="fr-FR"/>
        </w:rPr>
        <w:t>138 groupes de métiers</w:t>
      </w:r>
    </w:p>
    <w:p w:rsidR="000B13DD" w:rsidRPr="000B13DD" w:rsidRDefault="000B13DD" w:rsidP="00B025C9">
      <w:pPr>
        <w:numPr>
          <w:ilvl w:val="0"/>
          <w:numId w:val="1"/>
        </w:numPr>
        <w:shd w:val="clear" w:color="auto" w:fill="FFFFFF"/>
        <w:spacing w:after="0" w:line="360" w:lineRule="atLeast"/>
        <w:ind w:left="514"/>
        <w:textAlignment w:val="baseline"/>
        <w:rPr>
          <w:rFonts w:ascii="Open Sans" w:eastAsia="Times New Roman" w:hAnsi="Open Sans" w:cs="Open Sans"/>
          <w:color w:val="757575"/>
          <w:sz w:val="20"/>
          <w:szCs w:val="20"/>
          <w:lang w:eastAsia="fr-FR"/>
        </w:rPr>
      </w:pPr>
      <w:r w:rsidRPr="000B13DD">
        <w:rPr>
          <w:rFonts w:ascii="FontAwesome" w:eastAsia="Times New Roman" w:hAnsi="FontAwesome" w:cs="Open Sans"/>
          <w:color w:val="373737"/>
          <w:sz w:val="20"/>
          <w:szCs w:val="20"/>
          <w:bdr w:val="none" w:sz="0" w:space="0" w:color="auto" w:frame="1"/>
          <w:lang w:eastAsia="fr-FR"/>
        </w:rPr>
        <w:t> </w:t>
      </w:r>
      <w:r w:rsidRPr="000B13DD">
        <w:rPr>
          <w:rFonts w:ascii="Open Sans" w:eastAsia="Times New Roman" w:hAnsi="Open Sans" w:cs="Open Sans"/>
          <w:color w:val="757575"/>
          <w:sz w:val="20"/>
          <w:szCs w:val="20"/>
          <w:lang w:eastAsia="fr-FR"/>
        </w:rPr>
        <w:t xml:space="preserve">Adéquation avec un référentiel standard de </w:t>
      </w:r>
      <w:r w:rsidRPr="000B13DD">
        <w:rPr>
          <w:rFonts w:ascii="Open Sans" w:eastAsia="Times New Roman" w:hAnsi="Open Sans" w:cs="Open Sans"/>
          <w:color w:val="757575"/>
          <w:sz w:val="28"/>
          <w:szCs w:val="28"/>
          <w:lang w:eastAsia="fr-FR"/>
        </w:rPr>
        <w:t>22 compétences comportementales</w:t>
      </w:r>
    </w:p>
    <w:p w:rsidR="000B13DD" w:rsidRPr="000B13DD" w:rsidRDefault="000B13DD" w:rsidP="00B025C9">
      <w:pPr>
        <w:numPr>
          <w:ilvl w:val="0"/>
          <w:numId w:val="1"/>
        </w:numPr>
        <w:shd w:val="clear" w:color="auto" w:fill="FFFFFF"/>
        <w:spacing w:after="0" w:line="360" w:lineRule="atLeast"/>
        <w:ind w:left="514"/>
        <w:textAlignment w:val="baseline"/>
        <w:rPr>
          <w:rFonts w:ascii="Open Sans" w:eastAsia="Times New Roman" w:hAnsi="Open Sans" w:cs="Open Sans"/>
          <w:color w:val="757575"/>
          <w:sz w:val="20"/>
          <w:szCs w:val="20"/>
          <w:lang w:eastAsia="fr-FR"/>
        </w:rPr>
      </w:pPr>
      <w:r w:rsidRPr="000B13DD">
        <w:rPr>
          <w:rFonts w:ascii="Open Sans" w:eastAsia="Times New Roman" w:hAnsi="Open Sans" w:cs="Open Sans"/>
          <w:color w:val="757575"/>
          <w:sz w:val="20"/>
          <w:szCs w:val="20"/>
          <w:lang w:eastAsia="fr-FR"/>
        </w:rPr>
        <w:t xml:space="preserve">Validité scientifique reconnue mondialement (version anglaise enregistrée auprès de la British </w:t>
      </w:r>
      <w:proofErr w:type="spellStart"/>
      <w:r w:rsidRPr="000B13DD">
        <w:rPr>
          <w:rFonts w:ascii="Open Sans" w:eastAsia="Times New Roman" w:hAnsi="Open Sans" w:cs="Open Sans"/>
          <w:color w:val="757575"/>
          <w:sz w:val="20"/>
          <w:szCs w:val="20"/>
          <w:lang w:eastAsia="fr-FR"/>
        </w:rPr>
        <w:t>Psychological</w:t>
      </w:r>
      <w:proofErr w:type="spellEnd"/>
      <w:r w:rsidRPr="000B13DD">
        <w:rPr>
          <w:rFonts w:ascii="Open Sans" w:eastAsia="Times New Roman" w:hAnsi="Open Sans" w:cs="Open Sans"/>
          <w:color w:val="757575"/>
          <w:sz w:val="20"/>
          <w:szCs w:val="20"/>
          <w:lang w:eastAsia="fr-FR"/>
        </w:rPr>
        <w:t xml:space="preserve"> Society - BPS)</w:t>
      </w:r>
    </w:p>
    <w:p w:rsidR="007E0D16" w:rsidRDefault="007E0D16" w:rsidP="00B025C9"/>
    <w:sectPr w:rsidR="007E0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FontAwesom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6D78"/>
    <w:multiLevelType w:val="multilevel"/>
    <w:tmpl w:val="F3E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DD"/>
    <w:rsid w:val="000B13DD"/>
    <w:rsid w:val="00377786"/>
    <w:rsid w:val="004A4682"/>
    <w:rsid w:val="007E0D16"/>
    <w:rsid w:val="00A054BC"/>
    <w:rsid w:val="00AA788C"/>
    <w:rsid w:val="00B02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11A6"/>
  <w15:chartTrackingRefBased/>
  <w15:docId w15:val="{87DA01A2-E341-48C8-9E4E-4830000E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B025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13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13DD"/>
    <w:rPr>
      <w:b/>
      <w:bCs/>
    </w:rPr>
  </w:style>
  <w:style w:type="character" w:customStyle="1" w:styleId="Titre3Car">
    <w:name w:val="Titre 3 Car"/>
    <w:basedOn w:val="Policepardfaut"/>
    <w:link w:val="Titre3"/>
    <w:uiPriority w:val="9"/>
    <w:semiHidden/>
    <w:rsid w:val="00B025C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8152">
      <w:bodyDiv w:val="1"/>
      <w:marLeft w:val="0"/>
      <w:marRight w:val="0"/>
      <w:marTop w:val="0"/>
      <w:marBottom w:val="0"/>
      <w:divBdr>
        <w:top w:val="none" w:sz="0" w:space="0" w:color="auto"/>
        <w:left w:val="none" w:sz="0" w:space="0" w:color="auto"/>
        <w:bottom w:val="none" w:sz="0" w:space="0" w:color="auto"/>
        <w:right w:val="none" w:sz="0" w:space="0" w:color="auto"/>
      </w:divBdr>
      <w:divsChild>
        <w:div w:id="47610552">
          <w:marLeft w:val="0"/>
          <w:marRight w:val="0"/>
          <w:marTop w:val="0"/>
          <w:marBottom w:val="0"/>
          <w:divBdr>
            <w:top w:val="none" w:sz="0" w:space="0" w:color="auto"/>
            <w:left w:val="none" w:sz="0" w:space="0" w:color="auto"/>
            <w:bottom w:val="none" w:sz="0" w:space="0" w:color="auto"/>
            <w:right w:val="none" w:sz="0" w:space="0" w:color="auto"/>
          </w:divBdr>
        </w:div>
      </w:divsChild>
    </w:div>
    <w:div w:id="896403293">
      <w:bodyDiv w:val="1"/>
      <w:marLeft w:val="0"/>
      <w:marRight w:val="0"/>
      <w:marTop w:val="0"/>
      <w:marBottom w:val="0"/>
      <w:divBdr>
        <w:top w:val="none" w:sz="0" w:space="0" w:color="auto"/>
        <w:left w:val="none" w:sz="0" w:space="0" w:color="auto"/>
        <w:bottom w:val="none" w:sz="0" w:space="0" w:color="auto"/>
        <w:right w:val="none" w:sz="0" w:space="0" w:color="auto"/>
      </w:divBdr>
    </w:div>
    <w:div w:id="15469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NOCQUET VERONIQUE</dc:creator>
  <cp:keywords/>
  <dc:description/>
  <cp:lastModifiedBy>NOCQUET VERONIQUE</cp:lastModifiedBy>
  <cp:revision>3</cp:revision>
  <dcterms:created xsi:type="dcterms:W3CDTF">2019-04-05T16:36:00Z</dcterms:created>
  <dcterms:modified xsi:type="dcterms:W3CDTF">2019-04-05T16:43:00Z</dcterms:modified>
</cp:coreProperties>
</file>